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hint="eastAsia" w:ascii="微软雅黑" w:hAnsi="微软雅黑" w:eastAsia="微软雅黑"/>
          <w:b/>
          <w:color w:val="FF0000"/>
          <w:sz w:val="48"/>
          <w:szCs w:val="48"/>
        </w:rPr>
        <w:t>绿地国际城项目推介</w: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FF0000"/>
          <w:sz w:val="30"/>
          <w:szCs w:val="30"/>
        </w:rPr>
        <w:t>一、项目简介</w:t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绿国际城为济南城市南部城市二环内最后的千亩国际万象城邦，是世界</w:t>
      </w:r>
      <w:r>
        <w:rPr>
          <w:rFonts w:ascii="微软雅黑" w:hAnsi="微软雅黑" w:eastAsia="微软雅黑"/>
          <w:color w:val="000000"/>
          <w:sz w:val="24"/>
          <w:szCs w:val="24"/>
        </w:rPr>
        <w:t>500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强企业绿地集团</w:t>
      </w:r>
      <w:r>
        <w:rPr>
          <w:rFonts w:ascii="微软雅黑" w:hAnsi="微软雅黑" w:eastAsia="微软雅黑"/>
          <w:color w:val="000000"/>
          <w:sz w:val="24"/>
          <w:szCs w:val="24"/>
        </w:rPr>
        <w:t>23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年最具有国际化气质的国际创意生态住区。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绿地集团是上海市国有控股特大型企业集团，成立于1992年7月18日。在2015年《财富》世界企业500强中位列第258位。中国房地产企业综合实力TOP1。旗下企业及项目遍及北京、上海、广州等80多个中国城市以及美国、英国、德国、澳大利亚、加拿大、韩国、泰国、马来西亚等四大洲九国十三城城，实现了国内A股整体上市（600606.SH）及部分资产香港H股上市（00337.HK 01365.HK），全面完成从“中国绿地”向“世界绿地”的重大转变。</w:t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项目位于市中区，新二环南路北侧，</w:t>
      </w:r>
      <w:r>
        <w:rPr>
          <w:rFonts w:ascii="微软雅黑" w:hAnsi="微软雅黑" w:eastAsia="微软雅黑"/>
          <w:color w:val="000000"/>
          <w:sz w:val="24"/>
          <w:szCs w:val="24"/>
        </w:rPr>
        <w:t>104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国道东侧，东临植被非常茂密的石房峪。项目总占地面积</w:t>
      </w:r>
      <w:r>
        <w:rPr>
          <w:rFonts w:ascii="微软雅黑" w:hAnsi="微软雅黑" w:eastAsia="微软雅黑"/>
          <w:color w:val="000000"/>
          <w:sz w:val="24"/>
          <w:szCs w:val="24"/>
        </w:rPr>
        <w:t>220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公顷，首期规划建筑面积</w:t>
      </w:r>
      <w:r>
        <w:rPr>
          <w:rFonts w:ascii="微软雅黑" w:hAnsi="微软雅黑" w:eastAsia="微软雅黑"/>
          <w:color w:val="000000"/>
          <w:sz w:val="24"/>
          <w:szCs w:val="24"/>
        </w:rPr>
        <w:t>12.1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余万平方米，包括</w:t>
      </w:r>
      <w:r>
        <w:rPr>
          <w:rFonts w:ascii="微软雅黑" w:hAnsi="微软雅黑" w:eastAsia="微软雅黑"/>
          <w:color w:val="000000"/>
          <w:sz w:val="24"/>
          <w:szCs w:val="24"/>
        </w:rPr>
        <w:t>4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栋高层、</w:t>
      </w:r>
      <w:r>
        <w:rPr>
          <w:rFonts w:ascii="微软雅黑" w:hAnsi="微软雅黑" w:eastAsia="微软雅黑"/>
          <w:color w:val="000000"/>
          <w:sz w:val="24"/>
          <w:szCs w:val="24"/>
        </w:rPr>
        <w:t>4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栋洋房。绿地国际城内部以完善的配套，突出产城一体化与城市副中心功能，规划建设集产业、商务、商业、教育、健康、科技、文化、生态，</w:t>
      </w:r>
      <w:r>
        <w:rPr>
          <w:rFonts w:ascii="微软雅黑" w:hAnsi="微软雅黑" w:eastAsia="微软雅黑"/>
          <w:color w:val="000000"/>
          <w:sz w:val="24"/>
          <w:szCs w:val="24"/>
        </w:rPr>
        <w:t>7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种业态于一体的产居业一体的新都市主义生活示范区；教育配套建有</w:t>
      </w:r>
      <w:r>
        <w:rPr>
          <w:rFonts w:ascii="微软雅黑" w:hAnsi="微软雅黑" w:eastAsia="微软雅黑"/>
          <w:color w:val="000000"/>
          <w:sz w:val="24"/>
          <w:szCs w:val="24"/>
        </w:rPr>
        <w:t>3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个幼儿园、</w:t>
      </w:r>
      <w:r>
        <w:rPr>
          <w:rFonts w:ascii="微软雅黑" w:hAnsi="微软雅黑" w:eastAsia="微软雅黑"/>
          <w:color w:val="000000"/>
          <w:sz w:val="24"/>
          <w:szCs w:val="24"/>
        </w:rPr>
        <w:t>2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个小学、</w:t>
      </w:r>
      <w:r>
        <w:rPr>
          <w:rFonts w:ascii="微软雅黑" w:hAnsi="微软雅黑" w:eastAsia="微软雅黑"/>
          <w:color w:val="000000"/>
          <w:sz w:val="24"/>
          <w:szCs w:val="24"/>
        </w:rPr>
        <w:t>1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个初中、</w:t>
      </w:r>
      <w:r>
        <w:rPr>
          <w:rFonts w:ascii="微软雅黑" w:hAnsi="微软雅黑" w:eastAsia="微软雅黑"/>
          <w:color w:val="000000"/>
          <w:sz w:val="24"/>
          <w:szCs w:val="24"/>
        </w:rPr>
        <w:t>1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个高中。并引入理想</w:t>
      </w:r>
      <w:r>
        <w:rPr>
          <w:rFonts w:ascii="微软雅黑" w:hAnsi="微软雅黑" w:eastAsia="微软雅黑"/>
          <w:color w:val="000000"/>
          <w:sz w:val="24"/>
          <w:szCs w:val="24"/>
        </w:rPr>
        <w:t>·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家景观关怀体系，给每一位业主提供无微不至的关怀。同时项目运用国际最尖端的互联网技术打造物联网平台，社区内免费</w:t>
      </w:r>
      <w:r>
        <w:rPr>
          <w:rFonts w:ascii="微软雅黑" w:hAnsi="微软雅黑" w:eastAsia="微软雅黑"/>
          <w:color w:val="000000"/>
          <w:sz w:val="24"/>
          <w:szCs w:val="24"/>
        </w:rPr>
        <w:t>WIFI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覆盖，志在打造“智能掌上社区”。</w:t>
      </w:r>
    </w:p>
    <w:p>
      <w:pPr>
        <w:ind w:firstLine="480" w:firstLineChars="20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绿地国际城秉承绿地“让生活更美好”的开发使命，构建以二环南路的便捷交通为依托、以稀缺生态环境和内部规划完善配套体系为支撑，全力营造和谐、富有独特魅力和宜居的创意生态住区、国际万象城邦。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pict>
          <v:shape id="_x0000_i1025" o:spt="75" type="#_x0000_t75" style="height:229.5pt;width:414.7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FF0000"/>
          <w:sz w:val="30"/>
          <w:szCs w:val="30"/>
        </w:rPr>
        <w:t>二、产品价值</w:t>
      </w:r>
    </w:p>
    <w:p>
      <w:pPr>
        <w:rPr>
          <w:rFonts w:ascii="微软雅黑" w:hAnsi="微软雅黑" w:eastAsia="微软雅黑"/>
          <w:b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1.项目区位：项目位于南二环区域内，隶属市中区。南临新二环南快速路，西靠</w:t>
      </w:r>
      <w:r>
        <w:rPr>
          <w:rFonts w:ascii="微软雅黑" w:hAnsi="微软雅黑" w:eastAsia="微软雅黑"/>
          <w:b/>
          <w:color w:val="000000"/>
          <w:szCs w:val="21"/>
        </w:rPr>
        <w:t>104</w:t>
      </w:r>
      <w:r>
        <w:rPr>
          <w:rFonts w:hint="eastAsia" w:ascii="微软雅黑" w:hAnsi="微软雅黑" w:eastAsia="微软雅黑"/>
          <w:b/>
          <w:color w:val="000000"/>
          <w:szCs w:val="21"/>
        </w:rPr>
        <w:t>国道。距离济南大学</w:t>
      </w:r>
      <w:r>
        <w:rPr>
          <w:rFonts w:ascii="微软雅黑" w:hAnsi="微软雅黑" w:eastAsia="微软雅黑"/>
          <w:b/>
          <w:color w:val="000000"/>
          <w:szCs w:val="21"/>
        </w:rPr>
        <w:t>2.5</w:t>
      </w:r>
      <w:r>
        <w:rPr>
          <w:rFonts w:hint="eastAsia" w:ascii="微软雅黑" w:hAnsi="微软雅黑" w:eastAsia="微软雅黑"/>
          <w:b/>
          <w:color w:val="000000"/>
          <w:szCs w:val="21"/>
        </w:rPr>
        <w:t>公里，距离省立医院南院</w:t>
      </w:r>
      <w:r>
        <w:rPr>
          <w:rFonts w:ascii="微软雅黑" w:hAnsi="微软雅黑" w:eastAsia="微软雅黑"/>
          <w:b/>
          <w:color w:val="000000"/>
          <w:szCs w:val="21"/>
        </w:rPr>
        <w:t>3.5</w:t>
      </w:r>
      <w:r>
        <w:rPr>
          <w:rFonts w:hint="eastAsia" w:ascii="微软雅黑" w:hAnsi="微软雅黑" w:eastAsia="微软雅黑"/>
          <w:b/>
          <w:color w:val="000000"/>
          <w:szCs w:val="21"/>
        </w:rPr>
        <w:t>公里。中海环宇城</w:t>
      </w:r>
      <w:r>
        <w:rPr>
          <w:rFonts w:ascii="微软雅黑" w:hAnsi="微软雅黑" w:eastAsia="微软雅黑"/>
          <w:b/>
          <w:color w:val="000000"/>
          <w:szCs w:val="21"/>
        </w:rPr>
        <w:t>3</w:t>
      </w:r>
      <w:r>
        <w:rPr>
          <w:rFonts w:hint="eastAsia" w:ascii="微软雅黑" w:hAnsi="微软雅黑" w:eastAsia="微软雅黑"/>
          <w:b/>
          <w:color w:val="000000"/>
          <w:szCs w:val="21"/>
        </w:rPr>
        <w:t>公里，经十路</w:t>
      </w:r>
      <w:r>
        <w:rPr>
          <w:rFonts w:ascii="微软雅黑" w:hAnsi="微软雅黑" w:eastAsia="微软雅黑"/>
          <w:b/>
          <w:color w:val="000000"/>
          <w:szCs w:val="21"/>
        </w:rPr>
        <w:t>5.5</w:t>
      </w:r>
      <w:r>
        <w:rPr>
          <w:rFonts w:hint="eastAsia" w:ascii="微软雅黑" w:hAnsi="微软雅黑" w:eastAsia="微软雅黑"/>
          <w:b/>
          <w:color w:val="000000"/>
          <w:szCs w:val="21"/>
        </w:rPr>
        <w:t>公里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pict>
          <v:shape id="_x0000_i1026" o:spt="75" type="#_x0000_t75" style="height:264pt;width:415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2.交通：项目紧靠城市主干道新二环南路快速路与</w:t>
      </w:r>
      <w:r>
        <w:rPr>
          <w:rFonts w:ascii="微软雅黑" w:hAnsi="微软雅黑" w:eastAsia="微软雅黑"/>
          <w:b/>
          <w:color w:val="000000"/>
          <w:szCs w:val="21"/>
        </w:rPr>
        <w:t>104</w:t>
      </w:r>
      <w:r>
        <w:rPr>
          <w:rFonts w:hint="eastAsia" w:ascii="微软雅黑" w:hAnsi="微软雅黑" w:eastAsia="微软雅黑"/>
          <w:b/>
          <w:color w:val="000000"/>
          <w:szCs w:val="21"/>
        </w:rPr>
        <w:t>国道，距项目不到</w:t>
      </w:r>
      <w:r>
        <w:rPr>
          <w:rFonts w:ascii="微软雅黑" w:hAnsi="微软雅黑" w:eastAsia="微软雅黑"/>
          <w:b/>
          <w:color w:val="000000"/>
          <w:szCs w:val="21"/>
        </w:rPr>
        <w:t>1</w:t>
      </w:r>
      <w:r>
        <w:rPr>
          <w:rFonts w:hint="eastAsia" w:ascii="微软雅黑" w:hAnsi="微软雅黑" w:eastAsia="微软雅黑"/>
          <w:b/>
          <w:color w:val="000000"/>
          <w:szCs w:val="21"/>
        </w:rPr>
        <w:t>公里便是轻轨</w:t>
      </w:r>
      <w:r>
        <w:rPr>
          <w:rFonts w:ascii="微软雅黑" w:hAnsi="微软雅黑" w:eastAsia="微软雅黑"/>
          <w:b/>
          <w:color w:val="000000"/>
          <w:szCs w:val="21"/>
        </w:rPr>
        <w:t>M5</w:t>
      </w:r>
      <w:r>
        <w:rPr>
          <w:rFonts w:hint="eastAsia" w:ascii="微软雅黑" w:hAnsi="微软雅黑" w:eastAsia="微软雅黑"/>
          <w:b/>
          <w:color w:val="000000"/>
          <w:szCs w:val="21"/>
        </w:rPr>
        <w:t>号线的文庄站，随着二环南路快速路的通车，项目将无缝对接全城高架桥交通网，</w:t>
      </w:r>
      <w:r>
        <w:rPr>
          <w:rFonts w:ascii="微软雅黑" w:hAnsi="微软雅黑" w:eastAsia="微软雅黑"/>
          <w:b/>
          <w:color w:val="000000"/>
          <w:szCs w:val="21"/>
        </w:rPr>
        <w:t>15</w:t>
      </w:r>
      <w:r>
        <w:rPr>
          <w:rFonts w:hint="eastAsia" w:ascii="微软雅黑" w:hAnsi="微软雅黑" w:eastAsia="微软雅黑"/>
          <w:b/>
          <w:color w:val="000000"/>
          <w:szCs w:val="21"/>
        </w:rPr>
        <w:t>分钟内便可畅达全城。</w:t>
      </w:r>
    </w:p>
    <w:p>
      <w:pPr>
        <w:rPr>
          <w:rFonts w:ascii="微软雅黑" w:hAnsi="微软雅黑" w:eastAsia="微软雅黑"/>
          <w:b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3.项目规划：项目总面积约</w:t>
      </w:r>
      <w:r>
        <w:rPr>
          <w:rFonts w:ascii="微软雅黑" w:hAnsi="微软雅黑" w:eastAsia="微软雅黑"/>
          <w:b/>
          <w:color w:val="000000"/>
          <w:szCs w:val="21"/>
        </w:rPr>
        <w:t>200</w:t>
      </w:r>
      <w:r>
        <w:rPr>
          <w:rFonts w:hint="eastAsia" w:ascii="微软雅黑" w:hAnsi="微软雅黑" w:eastAsia="微软雅黑"/>
          <w:b/>
          <w:color w:val="000000"/>
          <w:szCs w:val="21"/>
        </w:rPr>
        <w:t>万方，其中沿</w:t>
      </w:r>
      <w:r>
        <w:rPr>
          <w:rFonts w:ascii="微软雅黑" w:hAnsi="微软雅黑" w:eastAsia="微软雅黑"/>
          <w:b/>
          <w:color w:val="000000"/>
          <w:szCs w:val="21"/>
        </w:rPr>
        <w:t>104</w:t>
      </w:r>
      <w:r>
        <w:rPr>
          <w:rFonts w:hint="eastAsia" w:ascii="微软雅黑" w:hAnsi="微软雅黑" w:eastAsia="微软雅黑"/>
          <w:b/>
          <w:color w:val="000000"/>
          <w:szCs w:val="21"/>
        </w:rPr>
        <w:t>国道为医院、商业、</w:t>
      </w:r>
      <w:r>
        <w:rPr>
          <w:rFonts w:ascii="微软雅黑" w:hAnsi="微软雅黑" w:eastAsia="微软雅黑"/>
          <w:b/>
          <w:color w:val="000000"/>
          <w:szCs w:val="21"/>
        </w:rPr>
        <w:t>shoppingmall</w:t>
      </w:r>
      <w:r>
        <w:rPr>
          <w:rFonts w:hint="eastAsia" w:ascii="微软雅黑" w:hAnsi="微软雅黑" w:eastAsia="微软雅黑"/>
          <w:b/>
          <w:color w:val="000000"/>
          <w:szCs w:val="21"/>
        </w:rPr>
        <w:t>用地，内侧为居住用地。规划建设以生活居住为主导功能，商业、金融业、医疗卫生、城市绿地休闲于一体。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pict>
          <v:shape id="_x0000_i1027" o:spt="75" type="#_x0000_t75" style="height:160.5pt;width:432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4.智能社区：绿地国际城，运用国际最尖端的互联网技术打造物联网平台，将智慧物管、智能家居、能源管理、智慧人居、家庭健康、数字生活等生活领域整合，社区内全免费WIFI覆盖，业主可通过手机APP一键解决生活内所有需求。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5“理想·家”景观：绿地集团推出的“理想·家”人居体系，将整个框架体系由以</w:t>
      </w:r>
      <w:r>
        <w:rPr>
          <w:rFonts w:ascii="微软雅黑" w:hAnsi="微软雅黑" w:eastAsia="微软雅黑"/>
          <w:b/>
          <w:color w:val="000000"/>
          <w:szCs w:val="21"/>
        </w:rPr>
        <w:t>C.A.R.E.</w:t>
      </w:r>
      <w:r>
        <w:rPr>
          <w:rFonts w:hint="eastAsia" w:ascii="微软雅黑" w:hAnsi="微软雅黑" w:eastAsia="微软雅黑"/>
          <w:b/>
          <w:color w:val="000000"/>
          <w:szCs w:val="21"/>
        </w:rPr>
        <w:t>为首字母的四大核心 “景观价值”——可感知舒适“</w:t>
      </w:r>
      <w:r>
        <w:rPr>
          <w:rFonts w:ascii="微软雅黑" w:hAnsi="微软雅黑" w:eastAsia="微软雅黑"/>
          <w:b/>
          <w:color w:val="000000"/>
          <w:szCs w:val="21"/>
        </w:rPr>
        <w:t>COMFORT”、可体验智能（AINTELLIGENCE</w:t>
      </w:r>
      <w:r>
        <w:rPr>
          <w:rFonts w:hint="eastAsia" w:ascii="微软雅黑" w:hAnsi="微软雅黑" w:eastAsia="微软雅黑"/>
          <w:b/>
          <w:color w:val="000000"/>
          <w:szCs w:val="21"/>
        </w:rPr>
        <w:t>）、可参与永续（</w:t>
      </w:r>
      <w:r>
        <w:rPr>
          <w:rFonts w:ascii="微软雅黑" w:hAnsi="微软雅黑" w:eastAsia="微软雅黑"/>
          <w:b/>
          <w:color w:val="000000"/>
          <w:szCs w:val="21"/>
        </w:rPr>
        <w:t>RECYCLE</w:t>
      </w:r>
      <w:r>
        <w:rPr>
          <w:rFonts w:hint="eastAsia" w:ascii="微软雅黑" w:hAnsi="微软雅黑" w:eastAsia="微软雅黑"/>
          <w:b/>
          <w:color w:val="000000"/>
          <w:szCs w:val="21"/>
        </w:rPr>
        <w:t>）、可互动环境（</w:t>
      </w:r>
      <w:r>
        <w:rPr>
          <w:rFonts w:ascii="微软雅黑" w:hAnsi="微软雅黑" w:eastAsia="微软雅黑"/>
          <w:b/>
          <w:color w:val="000000"/>
          <w:szCs w:val="21"/>
        </w:rPr>
        <w:t>ENVIRONMENT</w:t>
      </w:r>
      <w:r>
        <w:rPr>
          <w:rFonts w:hint="eastAsia" w:ascii="微软雅黑" w:hAnsi="微软雅黑" w:eastAsia="微软雅黑"/>
          <w:b/>
          <w:color w:val="000000"/>
          <w:szCs w:val="21"/>
        </w:rPr>
        <w:t>），而这四大价值的背后，是</w:t>
      </w:r>
      <w:r>
        <w:rPr>
          <w:rFonts w:ascii="微软雅黑" w:hAnsi="微软雅黑" w:eastAsia="微软雅黑"/>
          <w:b/>
          <w:color w:val="000000"/>
          <w:szCs w:val="21"/>
        </w:rPr>
        <w:t>6</w:t>
      </w:r>
      <w:r>
        <w:rPr>
          <w:rFonts w:hint="eastAsia" w:ascii="微软雅黑" w:hAnsi="微软雅黑" w:eastAsia="微软雅黑"/>
          <w:b/>
          <w:color w:val="000000"/>
          <w:szCs w:val="21"/>
        </w:rPr>
        <w:t>大功能技术模块——场地适宜性分析、空间规划、公共空间设计、任性设计、环境友好技术、智能化技术，近百项的贴心关怀细节设计。</w:t>
      </w:r>
    </w:p>
    <w:p>
      <w:pPr>
        <w:rPr>
          <w:rFonts w:ascii="微软雅黑" w:hAnsi="微软雅黑" w:eastAsia="微软雅黑"/>
          <w:b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6.项目景观：项目东临马武寨山，依山势打造私家山体花园，为您营造最理想的生活环境，稀缺的环境资源与优质的鲜氧生活在此完美交融，二环内最后千亩生态住区、济南最佳宜居之地已然呈现。</w:t>
      </w:r>
    </w:p>
    <w:p>
      <w:pPr>
        <w:rPr>
          <w:rFonts w:ascii="微软雅黑" w:hAnsi="微软雅黑" w:eastAsia="微软雅黑"/>
          <w:b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7.项目配套：济南大学、中海环宇城、大型医院近在咫尺，同时项目内自建有“智慧谷”商业配套，足不出城，即可享受到国际潮流前沿的生活方式，实现真正一站式“衣、食、住、行”优居社区。</w:t>
      </w:r>
    </w:p>
    <w:p>
      <w:pPr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Cs/>
          <w:color w:val="FF0000"/>
          <w:szCs w:val="21"/>
        </w:rPr>
        <w:t>产业：</w:t>
      </w:r>
      <w:r>
        <w:rPr>
          <w:rFonts w:hint="eastAsia" w:ascii="微软雅黑" w:hAnsi="微软雅黑" w:eastAsia="微软雅黑"/>
          <w:color w:val="000000"/>
          <w:szCs w:val="21"/>
        </w:rPr>
        <w:t>独特的互联网+、创客空间、文化产业定位，高新技术产业聚集，这里将成为市中区的产业中心，为济南西南城区的发展带来无限动力。</w:t>
      </w:r>
    </w:p>
    <w:p>
      <w:pPr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Cs/>
          <w:color w:val="FF0000"/>
          <w:szCs w:val="21"/>
        </w:rPr>
        <w:t>商务：</w:t>
      </w:r>
      <w:r>
        <w:rPr>
          <w:rFonts w:hint="eastAsia" w:ascii="微软雅黑" w:hAnsi="微软雅黑" w:eastAsia="微软雅黑"/>
          <w:color w:val="000000"/>
          <w:szCs w:val="21"/>
        </w:rPr>
        <w:t>沿104国道以多栋高层地标性写字楼为主体的商务写字楼集群，打造西南部CBD办公旗舰展示区。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hint="eastAsia" w:ascii="微软雅黑" w:hAnsi="微软雅黑" w:eastAsia="微软雅黑"/>
          <w:bCs/>
          <w:color w:val="FF0000"/>
          <w:szCs w:val="21"/>
        </w:rPr>
        <w:t>医疗：</w:t>
      </w:r>
      <w:r>
        <w:rPr>
          <w:rFonts w:hint="eastAsia" w:ascii="微软雅黑" w:hAnsi="微软雅黑" w:eastAsia="微软雅黑"/>
          <w:color w:val="000000"/>
          <w:szCs w:val="21"/>
        </w:rPr>
        <w:t>占地6.16万㎡的综合性医院,保障业主就近诊疗，丰富社区配套。</w:t>
      </w:r>
    </w:p>
    <w:p>
      <w:pPr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bCs/>
          <w:color w:val="FF0000"/>
          <w:szCs w:val="21"/>
        </w:rPr>
        <w:t>教育：</w:t>
      </w:r>
      <w:r>
        <w:rPr>
          <w:rFonts w:hint="eastAsia" w:ascii="微软雅黑" w:hAnsi="微软雅黑" w:eastAsia="微软雅黑"/>
          <w:color w:val="000000"/>
          <w:szCs w:val="21"/>
        </w:rPr>
        <w:t>15年一贯制教育体系，7所名校保障优质教育（3所幼儿园、2所小学、1所初中、1所高中）。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hint="eastAsia" w:ascii="微软雅黑" w:hAnsi="微软雅黑" w:eastAsia="微软雅黑"/>
          <w:bCs/>
          <w:color w:val="FF0000"/>
          <w:szCs w:val="21"/>
        </w:rPr>
        <w:t>商业：</w:t>
      </w:r>
      <w:r>
        <w:rPr>
          <w:rFonts w:hint="eastAsia" w:ascii="微软雅黑" w:hAnsi="微软雅黑" w:eastAsia="微软雅黑"/>
          <w:color w:val="000000"/>
          <w:szCs w:val="21"/>
        </w:rPr>
        <w:t xml:space="preserve">沿104国道部分规划建设大型shoppingmall集中商业、商业配套，将依托免税商店、互联网超市等，将授权的免税品经营资质、工厂直销中心等特色商业资源注入。 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bCs/>
          <w:color w:val="FF0000"/>
          <w:sz w:val="48"/>
          <w:szCs w:val="48"/>
        </w:rPr>
        <w:pict>
          <v:shape id="_x0000_i1028" o:spt="75" type="#_x0000_t75" style="height:230.25pt;width:414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FF0000"/>
          <w:sz w:val="30"/>
          <w:szCs w:val="30"/>
        </w:rPr>
        <w:t>三、首开地块</w:t>
      </w:r>
    </w:p>
    <w:p>
      <w:pPr>
        <w:rPr>
          <w:rFonts w:ascii="微软雅黑" w:hAnsi="微软雅黑" w:eastAsia="微软雅黑"/>
          <w:b/>
          <w:color w:val="000000"/>
          <w:szCs w:val="21"/>
        </w:rPr>
      </w:pPr>
      <w:r>
        <w:rPr>
          <w:rFonts w:hint="eastAsia" w:ascii="微软雅黑" w:hAnsi="微软雅黑" w:eastAsia="微软雅黑"/>
          <w:b/>
          <w:color w:val="000000"/>
          <w:szCs w:val="21"/>
        </w:rPr>
        <w:t>1.首推B14地块：位于市中区</w:t>
      </w:r>
      <w:r>
        <w:rPr>
          <w:rFonts w:ascii="微软雅黑" w:hAnsi="微软雅黑" w:eastAsia="微软雅黑"/>
          <w:b/>
          <w:color w:val="000000"/>
          <w:szCs w:val="21"/>
        </w:rPr>
        <w:t>104</w:t>
      </w:r>
      <w:r>
        <w:rPr>
          <w:rFonts w:hint="eastAsia" w:ascii="微软雅黑" w:hAnsi="微软雅黑" w:eastAsia="微软雅黑"/>
          <w:b/>
          <w:color w:val="000000"/>
          <w:szCs w:val="21"/>
        </w:rPr>
        <w:t>国道南侧，北侧为规划在建新二环南路，东侧为文庄东路，地块东高西低。规划文庄片区配套设施完善、交通便利、景观资源良好。总占地约</w:t>
      </w:r>
      <w:r>
        <w:rPr>
          <w:rFonts w:ascii="微软雅黑" w:hAnsi="微软雅黑" w:eastAsia="微软雅黑"/>
          <w:b/>
          <w:color w:val="000000"/>
          <w:szCs w:val="21"/>
        </w:rPr>
        <w:t>2.9</w:t>
      </w:r>
      <w:r>
        <w:rPr>
          <w:rFonts w:hint="eastAsia" w:ascii="微软雅黑" w:hAnsi="微软雅黑" w:eastAsia="微软雅黑"/>
          <w:b/>
          <w:color w:val="000000"/>
          <w:szCs w:val="21"/>
        </w:rPr>
        <w:t>万㎡，总建筑面积约</w:t>
      </w:r>
      <w:r>
        <w:rPr>
          <w:rFonts w:ascii="微软雅黑" w:hAnsi="微软雅黑" w:eastAsia="微软雅黑"/>
          <w:b/>
          <w:color w:val="000000"/>
          <w:szCs w:val="21"/>
        </w:rPr>
        <w:t>12.1</w:t>
      </w:r>
      <w:r>
        <w:rPr>
          <w:rFonts w:hint="eastAsia" w:ascii="微软雅黑" w:hAnsi="微软雅黑" w:eastAsia="微软雅黑"/>
          <w:b/>
          <w:color w:val="000000"/>
          <w:szCs w:val="21"/>
        </w:rPr>
        <w:t>万㎡，绿化率</w:t>
      </w:r>
      <w:r>
        <w:rPr>
          <w:rFonts w:ascii="微软雅黑" w:hAnsi="微软雅黑" w:eastAsia="微软雅黑"/>
          <w:b/>
          <w:color w:val="000000"/>
          <w:szCs w:val="21"/>
        </w:rPr>
        <w:t>35%</w:t>
      </w:r>
      <w:r>
        <w:rPr>
          <w:rFonts w:hint="eastAsia" w:ascii="微软雅黑" w:hAnsi="微软雅黑" w:eastAsia="微软雅黑"/>
          <w:b/>
          <w:color w:val="000000"/>
          <w:szCs w:val="21"/>
        </w:rPr>
        <w:t>，共</w:t>
      </w:r>
      <w:r>
        <w:rPr>
          <w:rFonts w:ascii="微软雅黑" w:hAnsi="微软雅黑" w:eastAsia="微软雅黑"/>
          <w:b/>
          <w:color w:val="000000"/>
          <w:szCs w:val="21"/>
        </w:rPr>
        <w:t>784</w:t>
      </w:r>
      <w:r>
        <w:rPr>
          <w:rFonts w:hint="eastAsia" w:ascii="微软雅黑" w:hAnsi="微软雅黑" w:eastAsia="微软雅黑"/>
          <w:b/>
          <w:color w:val="000000"/>
          <w:szCs w:val="21"/>
        </w:rPr>
        <w:t>户。规划包含</w:t>
      </w:r>
      <w:r>
        <w:rPr>
          <w:rFonts w:ascii="微软雅黑" w:hAnsi="微软雅黑" w:eastAsia="微软雅黑"/>
          <w:b/>
          <w:color w:val="000000"/>
          <w:szCs w:val="21"/>
        </w:rPr>
        <w:t>10-25F</w:t>
      </w:r>
      <w:r>
        <w:rPr>
          <w:rFonts w:hint="eastAsia" w:ascii="微软雅黑" w:hAnsi="微软雅黑" w:eastAsia="微软雅黑"/>
          <w:b/>
          <w:color w:val="000000"/>
          <w:szCs w:val="21"/>
        </w:rPr>
        <w:t>住宅、底商。首期推出</w:t>
      </w:r>
      <w:r>
        <w:rPr>
          <w:rFonts w:ascii="微软雅黑" w:hAnsi="微软雅黑" w:eastAsia="微软雅黑"/>
          <w:b/>
          <w:color w:val="000000"/>
          <w:szCs w:val="21"/>
        </w:rPr>
        <w:t>8</w:t>
      </w:r>
      <w:r>
        <w:rPr>
          <w:rFonts w:hint="eastAsia" w:ascii="微软雅黑" w:hAnsi="微软雅黑" w:eastAsia="微软雅黑"/>
          <w:b/>
          <w:color w:val="000000"/>
          <w:szCs w:val="21"/>
        </w:rPr>
        <w:t>栋楼，主力户型面积区间</w:t>
      </w:r>
      <w:r>
        <w:rPr>
          <w:rFonts w:ascii="微软雅黑" w:hAnsi="微软雅黑" w:eastAsia="微软雅黑"/>
          <w:b/>
          <w:color w:val="000000"/>
          <w:szCs w:val="21"/>
        </w:rPr>
        <w:t>100-130</w:t>
      </w:r>
      <w:r>
        <w:rPr>
          <w:rFonts w:hint="eastAsia" w:ascii="微软雅黑" w:hAnsi="微软雅黑" w:eastAsia="微软雅黑"/>
          <w:b/>
          <w:color w:val="000000"/>
          <w:szCs w:val="21"/>
        </w:rPr>
        <w:t>㎡。</w: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pict>
          <v:shape id="_x0000_i1029" o:spt="75" type="#_x0000_t75" style="height:296.25pt;width:414.75pt;" filled="f" o:preferrelative="t" stroked="f" coordsize="21600,21600">
            <v:path/>
            <v:fill on="f" focussize="0,0"/>
            <v:stroke on="f" joinstyle="miter"/>
            <v:imagedata r:id="rId8" cropleft="1337f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b/>
          <w:color w:val="FF0000"/>
          <w:sz w:val="48"/>
          <w:szCs w:val="48"/>
        </w:rPr>
      </w:pPr>
    </w:p>
    <w:p>
      <w:pPr>
        <w:rPr>
          <w:rFonts w:ascii="微软雅黑" w:hAnsi="微软雅黑" w:eastAsia="微软雅黑"/>
          <w:b/>
          <w:color w:val="FF0000"/>
          <w:sz w:val="30"/>
          <w:szCs w:val="30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pict>
          <v:shape id="_x0000_i1030" o:spt="75" type="#_x0000_t75" style="height:229.5pt;width:415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30"/>
          <w:szCs w:val="30"/>
        </w:r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FF0000"/>
          <w:sz w:val="30"/>
          <w:szCs w:val="30"/>
        </w:rPr>
        <w:t>四、项目户型</w: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pict>
          <v:shape id="_x0000_i1031" o:spt="75" type="#_x0000_t75" style="height:255.75pt;width:426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object>
          <v:shape id="_x0000_i1032" o:spt="75" type="#_x0000_t75" style="height:229.5pt;width:415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PowerPoint.Slide.12" ShapeID="_x0000_i1032" DrawAspect="Content" ObjectID="_1468075725" r:id="rId11"/>
        </w:obje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object>
          <v:shape id="_x0000_i1033" o:spt="75" type="#_x0000_t75" style="height:229.5pt;width:415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PowerPoint.Slide.12" ShapeID="_x0000_i1033" DrawAspect="Content" ObjectID="_1468075726" r:id="rId13"/>
        </w:object>
      </w:r>
    </w:p>
    <w:p>
      <w:p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object>
          <v:shape id="_x0000_i1034" o:spt="75" type="#_x0000_t75" style="height:225pt;width:415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PowerPoint.Slide.12" ShapeID="_x0000_i1034" DrawAspect="Content" ObjectID="_1468075727" r:id="rId15"/>
        </w:obje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object>
          <v:shape id="_x0000_i1035" o:spt="75" type="#_x0000_t75" style="height:179.25pt;width:415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PowerPoint.Slide.12" ShapeID="_x0000_i1035" DrawAspect="Content" ObjectID="_1468075728" r:id="rId17"/>
        </w:object>
      </w:r>
    </w:p>
    <w:p>
      <w:pPr>
        <w:spacing w:line="360" w:lineRule="auto"/>
        <w:rPr>
          <w:rFonts w:ascii="微软雅黑" w:hAnsi="微软雅黑" w:eastAsia="微软雅黑"/>
          <w:b/>
          <w:color w:val="FF0000"/>
          <w:sz w:val="48"/>
          <w:szCs w:val="48"/>
        </w:rPr>
      </w:pPr>
      <w:r>
        <w:rPr>
          <w:rFonts w:ascii="微软雅黑" w:hAnsi="微软雅黑" w:eastAsia="微软雅黑"/>
          <w:b/>
          <w:color w:val="FF0000"/>
          <w:sz w:val="48"/>
          <w:szCs w:val="48"/>
        </w:rPr>
        <w:object>
          <v:shape id="_x0000_i1036" o:spt="75" type="#_x0000_t75" style="height:184.5pt;width:415.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PowerPoint.Slide.12" ShapeID="_x0000_i1036" DrawAspect="Content" ObjectID="_1468075729" r:id="rId19"/>
        </w:object>
      </w:r>
      <w:r>
        <w:rPr>
          <w:rFonts w:hint="eastAsia" w:ascii="微软雅黑" w:hAnsi="微软雅黑" w:eastAsia="微软雅黑"/>
          <w:b/>
          <w:color w:val="FF0000"/>
          <w:sz w:val="30"/>
          <w:szCs w:val="30"/>
        </w:rPr>
        <w:t>五、团购联系人及联系方式</w:t>
      </w:r>
    </w:p>
    <w:p>
      <w:pPr>
        <w:spacing w:line="360" w:lineRule="auto"/>
        <w:ind w:firstLine="600" w:firstLineChars="20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员工内购， 1#、2#、4#、5#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6#</w:t>
      </w:r>
      <w:r>
        <w:rPr>
          <w:rFonts w:hint="eastAsia" w:ascii="微软雅黑" w:hAnsi="微软雅黑" w:eastAsia="微软雅黑"/>
          <w:sz w:val="24"/>
          <w:szCs w:val="24"/>
        </w:rPr>
        <w:t>所有房源不分户型、不分楼层，一律一口价。25层高层整栋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起价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6100元</w:t>
      </w:r>
      <w:r>
        <w:rPr>
          <w:rFonts w:hint="eastAsia" w:ascii="微软雅黑" w:hAnsi="微软雅黑" w:eastAsia="微软雅黑"/>
          <w:sz w:val="24"/>
          <w:szCs w:val="24"/>
        </w:rPr>
        <w:t>，10层洋房整栋一口价6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/>
          <w:sz w:val="24"/>
          <w:szCs w:val="24"/>
        </w:rPr>
        <w:t>00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元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b/>
          <w:sz w:val="36"/>
          <w:szCs w:val="36"/>
        </w:rPr>
        <w:t>价格逐日递增，房源越等越少</w:t>
      </w:r>
      <w:r>
        <w:rPr>
          <w:rFonts w:hint="eastAsia" w:ascii="微软雅黑" w:hAnsi="微软雅黑" w:eastAsia="微软雅黑"/>
          <w:sz w:val="24"/>
          <w:szCs w:val="24"/>
        </w:rPr>
        <w:t>！！</w:t>
      </w:r>
    </w:p>
    <w:p>
      <w:pPr>
        <w:spacing w:line="360" w:lineRule="auto"/>
        <w:ind w:firstLine="60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团购政策：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3套起总价优惠5000元/套，10套以上可以再申请优惠政策（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购房优惠以定房当天售楼处价格为准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可投资，可免费更名一次。</w:t>
      </w:r>
    </w:p>
    <w:p>
      <w:pPr>
        <w:spacing w:line="360" w:lineRule="auto"/>
        <w:ind w:firstLine="72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联系人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：团购部</w:t>
      </w:r>
      <w:bookmarkStart w:id="0" w:name="_GoBack"/>
      <w:bookmarkEnd w:id="0"/>
      <w:r>
        <w:rPr>
          <w:rFonts w:hint="eastAsia" w:ascii="微软雅黑" w:hAnsi="微软雅黑" w:eastAsia="微软雅黑"/>
          <w:sz w:val="28"/>
          <w:szCs w:val="28"/>
          <w:lang w:eastAsia="zh-CN"/>
        </w:rPr>
        <w:t>大客户经理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刘念文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 186 1528 6882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70138"/>
    <w:rsid w:val="00023EB5"/>
    <w:rsid w:val="00126085"/>
    <w:rsid w:val="00157004"/>
    <w:rsid w:val="0017670A"/>
    <w:rsid w:val="001B1B23"/>
    <w:rsid w:val="002A5589"/>
    <w:rsid w:val="003C0D4E"/>
    <w:rsid w:val="0042159B"/>
    <w:rsid w:val="005061CC"/>
    <w:rsid w:val="00560A31"/>
    <w:rsid w:val="00810A22"/>
    <w:rsid w:val="00870168"/>
    <w:rsid w:val="008E328C"/>
    <w:rsid w:val="0093284E"/>
    <w:rsid w:val="00970138"/>
    <w:rsid w:val="00AA2547"/>
    <w:rsid w:val="00BB4FEC"/>
    <w:rsid w:val="00BD0373"/>
    <w:rsid w:val="00C5275C"/>
    <w:rsid w:val="00C85DD0"/>
    <w:rsid w:val="00DD420C"/>
    <w:rsid w:val="00DD7A09"/>
    <w:rsid w:val="00E225AA"/>
    <w:rsid w:val="00E965E5"/>
    <w:rsid w:val="00FC5280"/>
    <w:rsid w:val="056470BB"/>
    <w:rsid w:val="10B647F9"/>
    <w:rsid w:val="183D6854"/>
    <w:rsid w:val="24757AB4"/>
    <w:rsid w:val="287967F4"/>
    <w:rsid w:val="50795316"/>
    <w:rsid w:val="6B70760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oleObject" Target="embeddings/oleObject1.bin"/>
  <Relationship Id="rId12" Type="http://schemas.openxmlformats.org/officeDocument/2006/relationships/image" Target="media/image8.emf"/>
  <Relationship Id="rId13" Type="http://schemas.openxmlformats.org/officeDocument/2006/relationships/oleObject" Target="embeddings/oleObject2.bin"/>
  <Relationship Id="rId14" Type="http://schemas.openxmlformats.org/officeDocument/2006/relationships/image" Target="media/image9.emf"/>
  <Relationship Id="rId15" Type="http://schemas.openxmlformats.org/officeDocument/2006/relationships/oleObject" Target="embeddings/oleObject3.bin"/>
  <Relationship Id="rId16" Type="http://schemas.openxmlformats.org/officeDocument/2006/relationships/image" Target="media/image10.emf"/>
  <Relationship Id="rId17" Type="http://schemas.openxmlformats.org/officeDocument/2006/relationships/oleObject" Target="embeddings/oleObject4.bin"/>
  <Relationship Id="rId18" Type="http://schemas.openxmlformats.org/officeDocument/2006/relationships/image" Target="media/image11.emf"/>
  <Relationship Id="rId19" Type="http://schemas.openxmlformats.org/officeDocument/2006/relationships/oleObject" Target="embeddings/oleObject5.bin"/>
  <Relationship Id="rId2" Type="http://schemas.openxmlformats.org/officeDocument/2006/relationships/settings" Target="settings.xml"/>
  <Relationship Id="rId20" Type="http://schemas.openxmlformats.org/officeDocument/2006/relationships/image" Target="media/image12.emf"/>
  <Relationship Id="rId21" Type="http://schemas.openxmlformats.org/officeDocument/2006/relationships/customXml" Target="../customXml/item1.xml"/>
  <Relationship Id="rId22" Type="http://schemas.openxmlformats.org/officeDocument/2006/relationships/fontTable" Target="fontTable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335</Words>
  <Characters>1910</Characters>
  <Lines>15</Lines>
  <Paragraphs>4</Paragraphs>
  <TotalTime>0</TotalTime>
  <ScaleCrop>false</ScaleCrop>
  <LinksUpToDate>false</LinksUpToDate>
  <CharactersWithSpaces>2241</CharactersWithSpaces>
  <Application>WPS Office_10.1.0.5399_F1E327BC-269C-435d-A152-05C5408002CA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2015-10-18T12:33:00Z</dcterms:created>
  <dc:creator>微软用户</dc:creator>
  <lastModifiedBy>Administrator</lastModifiedBy>
  <dcterms:modified xsi:type="dcterms:W3CDTF">2015-12-10T03:12:28Z</dcterms:modified>
  <revision>23</revision>
  <dc:title>绿地国际城 项目简介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