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b/>
          <w:sz w:val="36"/>
          <w:szCs w:val="36"/>
        </w:rPr>
      </w:pPr>
      <w:bookmarkStart w:id="0" w:name="_GoBack"/>
      <w:r>
        <w:rPr>
          <w:rFonts w:hint="eastAsia"/>
          <w:b/>
          <w:sz w:val="32"/>
          <w:szCs w:val="32"/>
        </w:rPr>
        <w:t>财富壹號广场首期商业团购推介活动</w:t>
      </w:r>
    </w:p>
    <w:p>
      <w:pPr>
        <w:spacing w:line="360" w:lineRule="auto"/>
        <w:rPr>
          <w:rFonts w:hint="eastAsia" w:ascii="微软雅黑" w:hAnsi="微软雅黑" w:cs="微软雅黑"/>
          <w:sz w:val="24"/>
          <w:szCs w:val="24"/>
        </w:rPr>
      </w:pPr>
      <w:r>
        <w:rPr>
          <w:rFonts w:hint="eastAsia" w:ascii="微软雅黑" w:hAnsi="微软雅黑" w:cs="微软雅黑"/>
          <w:sz w:val="24"/>
          <w:szCs w:val="24"/>
          <w:lang w:val="en-US" w:eastAsia="zh-CN"/>
        </w:rPr>
        <w:t xml:space="preserve">       </w:t>
      </w:r>
      <w:r>
        <w:rPr>
          <w:rFonts w:hint="eastAsia" w:ascii="微软雅黑" w:hAnsi="微软雅黑" w:cs="微软雅黑"/>
          <w:sz w:val="24"/>
          <w:szCs w:val="24"/>
        </w:rPr>
        <w:t>为更好的解决投资改善问题，现与融创中国济南未来城置业有限公司协商后达成共识，拟组织企业员工对</w:t>
      </w:r>
      <w:r>
        <w:rPr>
          <w:rFonts w:hint="eastAsia" w:ascii="微软雅黑" w:hAnsi="微软雅黑" w:cs="微软雅黑"/>
          <w:b/>
          <w:bCs/>
          <w:sz w:val="24"/>
          <w:szCs w:val="24"/>
          <w:u w:val="single"/>
        </w:rPr>
        <w:t>融创 财富壹号广场</w:t>
      </w:r>
      <w:r>
        <w:rPr>
          <w:rFonts w:hint="eastAsia" w:ascii="微软雅黑" w:hAnsi="微软雅黑" w:cs="微软雅黑"/>
          <w:sz w:val="24"/>
          <w:szCs w:val="24"/>
        </w:rPr>
        <w:t>项目进行团购活动，相关事宜具体如下：</w:t>
      </w:r>
    </w:p>
    <w:p>
      <w:pPr>
        <w:spacing w:line="220" w:lineRule="atLeast"/>
        <w:rPr>
          <w:rFonts w:hint="eastAsia"/>
          <w:b/>
          <w:sz w:val="30"/>
          <w:szCs w:val="30"/>
          <w:highlight w:val="yellow"/>
        </w:rPr>
      </w:pPr>
      <w:r>
        <w:rPr>
          <w:rFonts w:hint="eastAsia"/>
          <w:sz w:val="24"/>
          <w:szCs w:val="24"/>
        </w:rPr>
        <w:t>项目对接负责人：</w:t>
      </w:r>
      <w:r>
        <w:rPr>
          <w:rFonts w:hint="eastAsia"/>
          <w:b/>
          <w:sz w:val="30"/>
          <w:szCs w:val="30"/>
          <w:highlight w:val="yellow"/>
        </w:rPr>
        <w:t>甄 婷 18865928801 同微信号（甄嬛的甄）</w:t>
      </w:r>
    </w:p>
    <w:p>
      <w:pPr>
        <w:spacing w:line="220" w:lineRule="atLeast"/>
        <w:ind w:firstLine="1950" w:firstLineChars="650"/>
        <w:rPr>
          <w:b/>
          <w:sz w:val="30"/>
          <w:szCs w:val="30"/>
          <w:highlight w:val="yellow"/>
        </w:rPr>
      </w:pPr>
      <w:r>
        <w:rPr>
          <w:rFonts w:hint="eastAsia"/>
          <w:b/>
          <w:sz w:val="30"/>
          <w:szCs w:val="30"/>
          <w:highlight w:val="yellow"/>
        </w:rPr>
        <w:t xml:space="preserve">  找甄婷经理，到售楼处看房有礼品</w:t>
      </w:r>
    </w:p>
    <w:p>
      <w:pPr>
        <w:spacing w:line="220" w:lineRule="atLeast"/>
        <w:rPr>
          <w:b/>
          <w:sz w:val="30"/>
          <w:szCs w:val="30"/>
          <w:highlight w:val="yellow"/>
        </w:rPr>
      </w:pPr>
    </w:p>
    <w:p>
      <w:pPr>
        <w:spacing w:line="360" w:lineRule="auto"/>
        <w:jc w:val="both"/>
        <w:rPr>
          <w:rFonts w:ascii="微软雅黑" w:hAnsi="微软雅黑" w:cs="微软雅黑"/>
          <w:b/>
          <w:bCs/>
          <w:sz w:val="28"/>
          <w:szCs w:val="28"/>
        </w:rPr>
      </w:pPr>
      <w:r>
        <w:rPr>
          <w:rFonts w:hint="eastAsia" w:ascii="微软雅黑" w:hAnsi="微软雅黑" w:cs="微软雅黑"/>
          <w:b/>
          <w:bCs/>
          <w:sz w:val="28"/>
          <w:szCs w:val="28"/>
        </w:rPr>
        <w:t>一，项目简介</w:t>
      </w:r>
    </w:p>
    <w:p>
      <w:pPr>
        <w:spacing w:line="288" w:lineRule="auto"/>
        <w:rPr>
          <w:rFonts w:ascii="微软雅黑" w:hAnsi="微软雅黑" w:cs="微软雅黑"/>
          <w:bCs/>
          <w:sz w:val="24"/>
          <w:szCs w:val="24"/>
        </w:rPr>
      </w:pPr>
      <w:r>
        <w:rPr>
          <w:rFonts w:hint="eastAsia" w:ascii="微软雅黑" w:hAnsi="微软雅黑" w:cs="微软雅黑"/>
          <w:bCs/>
          <w:sz w:val="24"/>
          <w:szCs w:val="24"/>
        </w:rPr>
        <w:t>融创中国控股有限公司是一家于香港联交所上市的专业从事住宅及商业地产综合开发的企业，公司坚持区域聚焦和高端精品发展战略，以“至臻，致远”为品牌方向，以“客户需求”为导向，持之以恒的为客户专注打造高端精品物业，立志成为对高端品质不懈追求的房地产行业领跑者。</w:t>
      </w:r>
    </w:p>
    <w:p>
      <w:pPr>
        <w:spacing w:line="288" w:lineRule="auto"/>
        <w:rPr>
          <w:rFonts w:ascii="微软雅黑" w:hAnsi="微软雅黑" w:cs="微软雅黑"/>
          <w:bCs/>
          <w:sz w:val="24"/>
          <w:szCs w:val="24"/>
        </w:rPr>
      </w:pPr>
      <w:r>
        <w:rPr>
          <w:rFonts w:hint="eastAsia" w:ascii="微软雅黑" w:hAnsi="微软雅黑" w:cs="微软雅黑"/>
          <w:bCs/>
          <w:sz w:val="24"/>
          <w:szCs w:val="24"/>
        </w:rPr>
        <w:t xml:space="preserve"> 2015年，融创中国实现销售金额734.6亿元，位列全国房企第九位。</w:t>
      </w:r>
    </w:p>
    <w:p>
      <w:pPr>
        <w:spacing w:line="288" w:lineRule="auto"/>
        <w:rPr>
          <w:rFonts w:ascii="微软雅黑" w:hAnsi="微软雅黑" w:cs="微软雅黑"/>
          <w:b/>
          <w:sz w:val="24"/>
          <w:szCs w:val="24"/>
        </w:rPr>
      </w:pPr>
      <w:r>
        <w:rPr>
          <w:rFonts w:hint="eastAsia" w:ascii="微软雅黑" w:hAnsi="微软雅黑" w:cs="微软雅黑"/>
          <w:bCs/>
          <w:sz w:val="24"/>
          <w:szCs w:val="24"/>
        </w:rPr>
        <w:t>2016年，融创中国实现销售金额1553.1亿元，位列全国房企第七位</w:t>
      </w:r>
      <w:r>
        <w:rPr>
          <w:rFonts w:hint="eastAsia" w:ascii="微软雅黑" w:hAnsi="微软雅黑" w:cs="微软雅黑"/>
          <w:b/>
          <w:sz w:val="24"/>
          <w:szCs w:val="24"/>
        </w:rPr>
        <w:t>。</w:t>
      </w:r>
    </w:p>
    <w:p>
      <w:pPr>
        <w:spacing w:line="288" w:lineRule="auto"/>
        <w:rPr>
          <w:sz w:val="24"/>
          <w:szCs w:val="24"/>
        </w:rPr>
      </w:pPr>
      <w:r>
        <w:rPr>
          <w:rFonts w:ascii="微软雅黑" w:hAnsi="微软雅黑" w:cs="微软雅黑"/>
          <w:b/>
          <w:sz w:val="24"/>
          <w:szCs w:val="24"/>
        </w:rPr>
        <w:drawing>
          <wp:inline distT="0" distB="0" distL="0" distR="0">
            <wp:extent cx="5762625" cy="3057525"/>
            <wp:effectExtent l="0" t="0" r="9525" b="9525"/>
            <wp:docPr id="1" name="图片 8" descr="43876015536689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43876015536689747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62625" cy="3057525"/>
                    </a:xfrm>
                    <a:prstGeom prst="rect">
                      <a:avLst/>
                    </a:prstGeom>
                    <a:noFill/>
                    <a:ln>
                      <a:noFill/>
                    </a:ln>
                  </pic:spPr>
                </pic:pic>
              </a:graphicData>
            </a:graphic>
          </wp:inline>
        </w:drawing>
      </w:r>
    </w:p>
    <w:p>
      <w:pPr>
        <w:spacing w:line="220" w:lineRule="atLeast"/>
        <w:rPr>
          <w:sz w:val="24"/>
          <w:szCs w:val="24"/>
        </w:rPr>
      </w:pPr>
      <w:r>
        <w:rPr>
          <w:rFonts w:hint="eastAsia"/>
          <w:sz w:val="24"/>
          <w:szCs w:val="24"/>
        </w:rPr>
        <w:t>济南西部片区有三条经济发展带，分别为纬十二路-阳光新路经济发展带、二环西经济发展带以及西客站经济带。纬十二路-阳光西路经济发展带以和谐广场综合体为核心，西客站经济带以高铁经济+济南国际医学科学中心为核心，而我们项目所处的二环西经济发展带是其中的重中之重。这条经济带集聚了百万㎡城市综合体财富壹号广场，全球最大的家具、家居零售商宜家，济南最大的国际会展中心（是舜耕国际会展中心的5倍大小，是济南高新区国际会展中心2倍大小），世购华联以及茶叶市场、匡山汽车大世界等专业卖场。</w:t>
      </w:r>
      <w:r>
        <w:rPr>
          <w:sz w:val="24"/>
          <w:szCs w:val="24"/>
        </w:rPr>
        <w:drawing>
          <wp:inline distT="0" distB="0" distL="0" distR="0">
            <wp:extent cx="5753100" cy="31432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53100" cy="3143250"/>
                    </a:xfrm>
                    <a:prstGeom prst="rect">
                      <a:avLst/>
                    </a:prstGeom>
                    <a:noFill/>
                    <a:ln>
                      <a:noFill/>
                    </a:ln>
                  </pic:spPr>
                </pic:pic>
              </a:graphicData>
            </a:graphic>
          </wp:inline>
        </w:drawing>
      </w:r>
    </w:p>
    <w:p>
      <w:pPr>
        <w:spacing w:line="220" w:lineRule="atLeast"/>
        <w:rPr>
          <w:sz w:val="24"/>
          <w:szCs w:val="24"/>
        </w:rPr>
      </w:pPr>
      <w:r>
        <w:rPr>
          <w:rFonts w:hint="eastAsia"/>
          <w:sz w:val="24"/>
          <w:szCs w:val="24"/>
        </w:rPr>
        <w:t>在二环西片区，融创开发了以住宅为主的财富壹号以及以城市综合体为主的财富壹号广场。其中财富壹号在售的包括财富壹号、财富壹号·融悦等多个住宅地块，整体规划百万㎡，而财富壹号广场整体规划约152万㎡，涵盖企业总部基地、甲级商务办公、精装公寓以及国际时尚商街等鼎级业态。财富壹號、财富壹号广场双百万平米城市巨舰，成聚合之势，改变西部发展格局。</w:t>
      </w:r>
    </w:p>
    <w:p>
      <w:pPr>
        <w:spacing w:line="220" w:lineRule="atLeast"/>
        <w:rPr>
          <w:sz w:val="24"/>
          <w:szCs w:val="24"/>
        </w:rPr>
      </w:pPr>
      <w:r>
        <w:rPr>
          <w:rFonts w:hint="eastAsia"/>
          <w:sz w:val="24"/>
          <w:szCs w:val="24"/>
        </w:rPr>
        <w:t>其中财富壹号广场一期B3地块建面约138800㎡，是一个集甲级商务办公、WE-shop微商大厦、精装公寓、精品酒店、美食街等多元业态于一体的综合体地块。</w:t>
      </w:r>
    </w:p>
    <w:p>
      <w:pPr>
        <w:spacing w:line="220" w:lineRule="atLeast"/>
        <w:jc w:val="both"/>
        <w:rPr>
          <w:sz w:val="24"/>
          <w:szCs w:val="24"/>
        </w:rPr>
      </w:pPr>
      <w:r>
        <w:rPr>
          <w:rFonts w:hint="eastAsia"/>
          <w:b/>
          <w:bCs/>
          <w:sz w:val="28"/>
          <w:szCs w:val="28"/>
        </w:rPr>
        <w:t>二，产品介绍：</w:t>
      </w:r>
    </w:p>
    <w:p>
      <w:pPr>
        <w:spacing w:line="220" w:lineRule="atLeast"/>
        <w:ind w:firstLine="360" w:firstLineChars="150"/>
        <w:rPr>
          <w:sz w:val="24"/>
          <w:szCs w:val="24"/>
        </w:rPr>
      </w:pPr>
      <w:r>
        <w:rPr>
          <w:sz w:val="24"/>
          <w:szCs w:val="24"/>
        </w:rPr>
        <w:drawing>
          <wp:inline distT="0" distB="0" distL="0" distR="0">
            <wp:extent cx="5772150" cy="3028950"/>
            <wp:effectExtent l="0" t="0" r="0" b="0"/>
            <wp:docPr id="3" name="图片 5" descr="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效果图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72150" cy="3028950"/>
                    </a:xfrm>
                    <a:prstGeom prst="rect">
                      <a:avLst/>
                    </a:prstGeom>
                    <a:noFill/>
                    <a:ln>
                      <a:noFill/>
                    </a:ln>
                  </pic:spPr>
                </pic:pic>
              </a:graphicData>
            </a:graphic>
          </wp:inline>
        </w:drawing>
      </w:r>
    </w:p>
    <w:p>
      <w:pPr>
        <w:spacing w:line="220" w:lineRule="atLeast"/>
        <w:ind w:firstLine="360" w:firstLineChars="150"/>
        <w:rPr>
          <w:rFonts w:hint="eastAsia"/>
          <w:sz w:val="24"/>
          <w:szCs w:val="24"/>
        </w:rPr>
      </w:pPr>
      <w:r>
        <w:rPr>
          <w:rFonts w:hint="eastAsia"/>
          <w:sz w:val="24"/>
          <w:szCs w:val="24"/>
        </w:rPr>
        <w:t>甲级商务办公+LOFT公寓+精品酒店+奢装公寓+美食街</w:t>
      </w:r>
    </w:p>
    <w:p>
      <w:pPr>
        <w:pStyle w:val="11"/>
        <w:numPr>
          <w:ilvl w:val="0"/>
          <w:numId w:val="1"/>
        </w:numPr>
        <w:spacing w:line="220" w:lineRule="atLeast"/>
        <w:ind w:firstLineChars="0"/>
        <w:rPr>
          <w:rFonts w:hint="eastAsia"/>
          <w:sz w:val="24"/>
          <w:szCs w:val="24"/>
        </w:rPr>
      </w:pPr>
      <w:r>
        <w:rPr>
          <w:rFonts w:hint="eastAsia"/>
          <w:sz w:val="24"/>
          <w:szCs w:val="24"/>
        </w:rPr>
        <w:t>甲级5A写字楼   110-1600平  单价9千-1.1万</w:t>
      </w:r>
    </w:p>
    <w:p>
      <w:pPr>
        <w:pStyle w:val="11"/>
        <w:numPr>
          <w:ilvl w:val="0"/>
          <w:numId w:val="1"/>
        </w:numPr>
        <w:spacing w:line="220" w:lineRule="atLeast"/>
        <w:ind w:firstLineChars="0"/>
        <w:rPr>
          <w:rFonts w:hint="eastAsia"/>
          <w:sz w:val="24"/>
          <w:szCs w:val="24"/>
        </w:rPr>
      </w:pPr>
      <w:r>
        <w:rPr>
          <w:rFonts w:hint="eastAsia"/>
          <w:sz w:val="24"/>
          <w:szCs w:val="24"/>
        </w:rPr>
        <w:t xml:space="preserve">LOFT复式公寓  37-40平  单价1.2-1.4万  </w:t>
      </w:r>
    </w:p>
    <w:p>
      <w:pPr>
        <w:pStyle w:val="11"/>
        <w:numPr>
          <w:ilvl w:val="0"/>
          <w:numId w:val="1"/>
        </w:numPr>
        <w:spacing w:line="220" w:lineRule="atLeast"/>
        <w:ind w:firstLineChars="0"/>
        <w:rPr>
          <w:rFonts w:hint="eastAsia"/>
          <w:sz w:val="24"/>
          <w:szCs w:val="24"/>
        </w:rPr>
      </w:pPr>
      <w:r>
        <w:rPr>
          <w:rFonts w:hint="eastAsia"/>
          <w:sz w:val="24"/>
          <w:szCs w:val="24"/>
        </w:rPr>
        <w:t xml:space="preserve">精装平层公寓  60平   单价1万-1.2万  </w:t>
      </w:r>
    </w:p>
    <w:p>
      <w:pPr>
        <w:pStyle w:val="11"/>
        <w:spacing w:line="220" w:lineRule="atLeast"/>
        <w:ind w:left="720" w:firstLine="0" w:firstLineChars="0"/>
        <w:rPr>
          <w:sz w:val="24"/>
          <w:szCs w:val="24"/>
        </w:rPr>
      </w:pPr>
      <w:r>
        <w:rPr>
          <w:sz w:val="24"/>
          <w:szCs w:val="24"/>
        </w:rPr>
        <w:drawing>
          <wp:inline distT="0" distB="0" distL="0" distR="0">
            <wp:extent cx="6192520" cy="3913505"/>
            <wp:effectExtent l="19050" t="0" r="0" b="0"/>
            <wp:docPr id="5" name="图片 4" descr="微信图片_2017060916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70609162317.png"/>
                    <pic:cNvPicPr>
                      <a:picLocks noChangeAspect="1"/>
                    </pic:cNvPicPr>
                  </pic:nvPicPr>
                  <pic:blipFill>
                    <a:blip r:embed="rId7"/>
                    <a:stretch>
                      <a:fillRect/>
                    </a:stretch>
                  </pic:blipFill>
                  <pic:spPr>
                    <a:xfrm>
                      <a:off x="0" y="0"/>
                      <a:ext cx="6192520" cy="3913505"/>
                    </a:xfrm>
                    <a:prstGeom prst="rect">
                      <a:avLst/>
                    </a:prstGeom>
                  </pic:spPr>
                </pic:pic>
              </a:graphicData>
            </a:graphic>
          </wp:inline>
        </w:drawing>
      </w:r>
    </w:p>
    <w:p>
      <w:pPr>
        <w:spacing w:line="220" w:lineRule="atLeast"/>
        <w:ind w:firstLine="3360" w:firstLineChars="1200"/>
        <w:rPr>
          <w:b/>
          <w:sz w:val="28"/>
          <w:szCs w:val="24"/>
        </w:rPr>
      </w:pPr>
      <w:r>
        <w:rPr>
          <w:rFonts w:hint="eastAsia"/>
          <w:b/>
          <w:sz w:val="28"/>
          <w:szCs w:val="24"/>
        </w:rPr>
        <w:t>1#写字楼推售产品基本信息</w:t>
      </w:r>
    </w:p>
    <w:p>
      <w:pPr>
        <w:spacing w:line="220" w:lineRule="atLeast"/>
        <w:ind w:firstLine="360" w:firstLineChars="150"/>
        <w:rPr>
          <w:sz w:val="24"/>
          <w:szCs w:val="24"/>
        </w:rPr>
      </w:pPr>
      <w:r>
        <w:rPr>
          <w:sz w:val="24"/>
          <w:szCs w:val="24"/>
        </w:rPr>
        <w:drawing>
          <wp:inline distT="0" distB="0" distL="0" distR="0">
            <wp:extent cx="4749800" cy="293306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51704" cy="2934113"/>
                    </a:xfrm>
                    <a:prstGeom prst="rect">
                      <a:avLst/>
                    </a:prstGeom>
                    <a:noFill/>
                    <a:ln>
                      <a:noFill/>
                    </a:ln>
                  </pic:spPr>
                </pic:pic>
              </a:graphicData>
            </a:graphic>
          </wp:inline>
        </w:drawing>
      </w:r>
    </w:p>
    <w:p>
      <w:pPr>
        <w:spacing w:line="220" w:lineRule="atLeast"/>
        <w:ind w:firstLine="360" w:firstLineChars="150"/>
        <w:rPr>
          <w:sz w:val="24"/>
          <w:szCs w:val="24"/>
        </w:rPr>
      </w:pPr>
      <w:r>
        <w:rPr>
          <w:rFonts w:hint="eastAsia"/>
          <w:sz w:val="24"/>
          <w:szCs w:val="24"/>
        </w:rPr>
        <w:t>建筑高度：97米；总建筑面积：4万㎡；楼层：2+24F层；</w:t>
      </w:r>
    </w:p>
    <w:p>
      <w:pPr>
        <w:spacing w:line="220" w:lineRule="atLeast"/>
        <w:ind w:firstLine="360" w:firstLineChars="150"/>
        <w:rPr>
          <w:sz w:val="24"/>
          <w:szCs w:val="24"/>
        </w:rPr>
      </w:pPr>
      <w:r>
        <w:rPr>
          <w:rFonts w:hint="eastAsia"/>
          <w:sz w:val="24"/>
          <w:szCs w:val="24"/>
        </w:rPr>
        <w:t>标准层面积：1600㎡；标准层高：3.6米；电梯配备：8部电梯；</w:t>
      </w:r>
    </w:p>
    <w:p>
      <w:pPr>
        <w:spacing w:line="220" w:lineRule="atLeast"/>
        <w:ind w:firstLine="360" w:firstLineChars="150"/>
        <w:rPr>
          <w:rFonts w:hint="eastAsia"/>
          <w:sz w:val="24"/>
          <w:szCs w:val="24"/>
        </w:rPr>
      </w:pPr>
      <w:r>
        <w:rPr>
          <w:rFonts w:hint="eastAsia"/>
          <w:sz w:val="24"/>
          <w:szCs w:val="24"/>
        </w:rPr>
        <w:t>停车位配比：100：1；价格：均价1万-1.1万左右。</w:t>
      </w:r>
    </w:p>
    <w:p>
      <w:pPr>
        <w:spacing w:line="220" w:lineRule="atLeast"/>
        <w:ind w:firstLine="2800" w:firstLineChars="1000"/>
        <w:rPr>
          <w:b/>
          <w:sz w:val="28"/>
          <w:szCs w:val="24"/>
        </w:rPr>
      </w:pPr>
      <w:r>
        <w:rPr>
          <w:rFonts w:hint="eastAsia"/>
          <w:b/>
          <w:sz w:val="28"/>
          <w:szCs w:val="24"/>
        </w:rPr>
        <w:t>3#公寓推售产品基本信息</w:t>
      </w:r>
    </w:p>
    <w:p>
      <w:pPr>
        <w:spacing w:line="220" w:lineRule="atLeast"/>
        <w:ind w:firstLine="360" w:firstLineChars="150"/>
        <w:rPr>
          <w:rFonts w:hint="eastAsia"/>
          <w:sz w:val="24"/>
          <w:szCs w:val="24"/>
        </w:rPr>
      </w:pPr>
    </w:p>
    <w:p>
      <w:pPr>
        <w:spacing w:line="220" w:lineRule="atLeast"/>
        <w:ind w:firstLine="360" w:firstLineChars="150"/>
        <w:rPr>
          <w:rFonts w:hint="eastAsia"/>
          <w:sz w:val="24"/>
          <w:szCs w:val="24"/>
        </w:rPr>
      </w:pPr>
    </w:p>
    <w:p>
      <w:pPr>
        <w:spacing w:line="220" w:lineRule="atLeast"/>
        <w:ind w:firstLine="360" w:firstLineChars="150"/>
        <w:rPr>
          <w:rFonts w:hint="eastAsia"/>
          <w:sz w:val="24"/>
          <w:szCs w:val="24"/>
        </w:rPr>
      </w:pPr>
    </w:p>
    <w:p>
      <w:pPr>
        <w:spacing w:line="220" w:lineRule="atLeast"/>
        <w:ind w:firstLine="330" w:firstLineChars="150"/>
        <w:rPr>
          <w:sz w:val="24"/>
          <w:szCs w:val="24"/>
        </w:rPr>
      </w:pPr>
      <w:r>
        <w:drawing>
          <wp:anchor distT="0" distB="0" distL="114300" distR="114300" simplePos="0" relativeHeight="251659264" behindDoc="0" locked="0" layoutInCell="1" allowOverlap="1">
            <wp:simplePos x="0" y="0"/>
            <wp:positionH relativeFrom="column">
              <wp:posOffset>352425</wp:posOffset>
            </wp:positionH>
            <wp:positionV relativeFrom="paragraph">
              <wp:posOffset>96520</wp:posOffset>
            </wp:positionV>
            <wp:extent cx="4972050" cy="3019425"/>
            <wp:effectExtent l="0" t="0" r="0" b="9525"/>
            <wp:wrapSquare wrapText="r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72050" cy="3019425"/>
                    </a:xfrm>
                    <a:prstGeom prst="rect">
                      <a:avLst/>
                    </a:prstGeom>
                    <a:noFill/>
                    <a:ln>
                      <a:noFill/>
                    </a:ln>
                  </pic:spPr>
                </pic:pic>
              </a:graphicData>
            </a:graphic>
          </wp:anchor>
        </w:drawing>
      </w:r>
      <w:r>
        <w:rPr>
          <w:sz w:val="24"/>
          <w:szCs w:val="24"/>
        </w:rPr>
        <w:br w:type="textWrapping" w:clear="all"/>
      </w:r>
    </w:p>
    <w:p>
      <w:pPr>
        <w:spacing w:line="220" w:lineRule="atLeast"/>
        <w:ind w:firstLine="360" w:firstLineChars="150"/>
        <w:rPr>
          <w:sz w:val="24"/>
          <w:szCs w:val="24"/>
        </w:rPr>
      </w:pPr>
      <w:r>
        <w:rPr>
          <w:rFonts w:hint="eastAsia"/>
          <w:sz w:val="24"/>
          <w:szCs w:val="24"/>
        </w:rPr>
        <w:t>建筑高度：西单元：54米，东单元72米；每层户数：西单元26户，东单元20</w:t>
      </w:r>
    </w:p>
    <w:p>
      <w:pPr>
        <w:spacing w:line="220" w:lineRule="atLeast"/>
        <w:ind w:firstLine="360" w:firstLineChars="150"/>
        <w:rPr>
          <w:sz w:val="24"/>
          <w:szCs w:val="24"/>
        </w:rPr>
      </w:pPr>
      <w:r>
        <w:rPr>
          <w:rFonts w:hint="eastAsia"/>
          <w:sz w:val="24"/>
          <w:szCs w:val="24"/>
        </w:rPr>
        <w:t>总建筑面积：3.3万㎡；</w:t>
      </w:r>
    </w:p>
    <w:p>
      <w:pPr>
        <w:spacing w:line="220" w:lineRule="atLeast"/>
        <w:ind w:firstLine="360" w:firstLineChars="150"/>
        <w:rPr>
          <w:sz w:val="24"/>
          <w:szCs w:val="24"/>
        </w:rPr>
      </w:pPr>
      <w:r>
        <w:rPr>
          <w:rFonts w:hint="eastAsia"/>
          <w:sz w:val="24"/>
          <w:szCs w:val="24"/>
        </w:rPr>
        <w:t>楼层：</w:t>
      </w:r>
    </w:p>
    <w:p>
      <w:pPr>
        <w:spacing w:line="220" w:lineRule="atLeast"/>
        <w:ind w:firstLine="360" w:firstLineChars="150"/>
        <w:rPr>
          <w:sz w:val="24"/>
          <w:szCs w:val="24"/>
        </w:rPr>
      </w:pPr>
      <w:r>
        <w:rPr>
          <w:rFonts w:hint="eastAsia"/>
          <w:sz w:val="24"/>
          <w:szCs w:val="24"/>
        </w:rPr>
        <w:t>标准层高：3.1米；</w:t>
      </w:r>
    </w:p>
    <w:p>
      <w:pPr>
        <w:spacing w:line="220" w:lineRule="atLeast"/>
        <w:ind w:firstLine="360" w:firstLineChars="150"/>
        <w:rPr>
          <w:sz w:val="24"/>
          <w:szCs w:val="24"/>
        </w:rPr>
      </w:pPr>
      <w:r>
        <w:rPr>
          <w:rFonts w:hint="eastAsia"/>
          <w:sz w:val="24"/>
          <w:szCs w:val="24"/>
        </w:rPr>
        <w:t>电梯配备：东西单元均4部电梯；</w:t>
      </w:r>
    </w:p>
    <w:p>
      <w:pPr>
        <w:spacing w:line="220" w:lineRule="atLeast"/>
        <w:ind w:firstLine="360" w:firstLineChars="150"/>
        <w:rPr>
          <w:sz w:val="24"/>
          <w:szCs w:val="24"/>
        </w:rPr>
      </w:pPr>
      <w:r>
        <w:rPr>
          <w:rFonts w:hint="eastAsia"/>
          <w:sz w:val="24"/>
          <w:szCs w:val="24"/>
        </w:rPr>
        <w:t>价格：均价10000-12000左右。</w:t>
      </w:r>
    </w:p>
    <w:p>
      <w:pPr>
        <w:spacing w:line="220" w:lineRule="atLeast"/>
        <w:rPr>
          <w:sz w:val="24"/>
          <w:szCs w:val="24"/>
        </w:rPr>
      </w:pPr>
      <w:r>
        <w:rPr>
          <w:rFonts w:hint="eastAsia"/>
          <w:b/>
          <w:bCs/>
          <w:sz w:val="28"/>
          <w:szCs w:val="28"/>
        </w:rPr>
        <w:t>三，项目介绍：</w:t>
      </w:r>
    </w:p>
    <w:p>
      <w:pPr>
        <w:pStyle w:val="7"/>
        <w:numPr>
          <w:ilvl w:val="0"/>
          <w:numId w:val="2"/>
        </w:numPr>
        <w:spacing w:line="220" w:lineRule="atLeast"/>
        <w:ind w:firstLineChars="0"/>
        <w:rPr>
          <w:sz w:val="24"/>
          <w:szCs w:val="24"/>
        </w:rPr>
      </w:pPr>
      <w:r>
        <w:rPr>
          <w:rFonts w:hint="eastAsia"/>
          <w:sz w:val="24"/>
          <w:szCs w:val="24"/>
        </w:rPr>
        <w:t>地址：经十路与二环西交汇处东行500米路南，舜和国际酒店西临财富一号售楼处；</w:t>
      </w:r>
    </w:p>
    <w:p>
      <w:pPr>
        <w:pStyle w:val="7"/>
        <w:numPr>
          <w:ilvl w:val="0"/>
          <w:numId w:val="2"/>
        </w:numPr>
        <w:spacing w:line="220" w:lineRule="atLeast"/>
        <w:ind w:firstLineChars="0"/>
        <w:rPr>
          <w:sz w:val="24"/>
          <w:szCs w:val="24"/>
        </w:rPr>
      </w:pPr>
      <w:r>
        <w:rPr>
          <w:rFonts w:hint="eastAsia"/>
          <w:sz w:val="24"/>
          <w:szCs w:val="24"/>
        </w:rPr>
        <w:t>交房时间：2019年6月-12月；</w:t>
      </w:r>
    </w:p>
    <w:p>
      <w:pPr>
        <w:pStyle w:val="7"/>
        <w:numPr>
          <w:ilvl w:val="0"/>
          <w:numId w:val="2"/>
        </w:numPr>
        <w:spacing w:line="220" w:lineRule="atLeast"/>
        <w:ind w:firstLineChars="0"/>
        <w:rPr>
          <w:rFonts w:ascii="微软雅黑" w:hAnsi="微软雅黑" w:cs="微软雅黑"/>
          <w:sz w:val="24"/>
          <w:szCs w:val="24"/>
        </w:rPr>
      </w:pPr>
      <w:r>
        <w:rPr>
          <w:rFonts w:hint="eastAsia" w:ascii="微软雅黑" w:hAnsi="微软雅黑" w:cs="微软雅黑"/>
          <w:sz w:val="24"/>
          <w:szCs w:val="24"/>
        </w:rPr>
        <w:t>物业类型：融创物业（国家一级资质）；</w:t>
      </w:r>
    </w:p>
    <w:p>
      <w:pPr>
        <w:pStyle w:val="7"/>
        <w:numPr>
          <w:ilvl w:val="0"/>
          <w:numId w:val="2"/>
        </w:numPr>
        <w:spacing w:line="220" w:lineRule="atLeast"/>
        <w:ind w:firstLineChars="0"/>
        <w:rPr>
          <w:sz w:val="24"/>
          <w:szCs w:val="24"/>
        </w:rPr>
      </w:pPr>
      <w:r>
        <w:rPr>
          <w:rFonts w:hint="eastAsia"/>
          <w:sz w:val="24"/>
          <w:szCs w:val="24"/>
        </w:rPr>
        <w:t>开盘时间：7月底8月初，具体时间待定。</w:t>
      </w:r>
    </w:p>
    <w:p>
      <w:pPr>
        <w:pStyle w:val="7"/>
        <w:spacing w:line="220" w:lineRule="atLeast"/>
        <w:ind w:firstLine="0" w:firstLineChars="0"/>
        <w:rPr>
          <w:sz w:val="24"/>
          <w:szCs w:val="24"/>
        </w:rPr>
      </w:pPr>
    </w:p>
    <w:p>
      <w:pPr>
        <w:spacing w:line="220" w:lineRule="atLeast"/>
        <w:ind w:firstLine="360" w:firstLineChars="150"/>
        <w:rPr>
          <w:sz w:val="24"/>
          <w:szCs w:val="24"/>
        </w:rPr>
      </w:pPr>
    </w:p>
    <w:p>
      <w:pPr>
        <w:spacing w:line="220" w:lineRule="atLeast"/>
        <w:rPr>
          <w:b/>
          <w:sz w:val="28"/>
          <w:szCs w:val="28"/>
        </w:rPr>
      </w:pPr>
      <w:r>
        <w:rPr>
          <w:rFonts w:hint="eastAsia"/>
          <w:b/>
          <w:sz w:val="28"/>
          <w:szCs w:val="28"/>
        </w:rPr>
        <w:t>四，客户政策：</w:t>
      </w:r>
    </w:p>
    <w:p>
      <w:pPr>
        <w:pStyle w:val="7"/>
        <w:tabs>
          <w:tab w:val="left" w:pos="459"/>
        </w:tabs>
        <w:spacing w:line="220" w:lineRule="atLeast"/>
        <w:ind w:firstLine="0" w:firstLineChars="0"/>
        <w:rPr>
          <w:rFonts w:ascii="微软雅黑" w:hAnsi="微软雅黑" w:cs="微软雅黑"/>
          <w:sz w:val="24"/>
          <w:szCs w:val="24"/>
        </w:rPr>
      </w:pPr>
      <w:r>
        <w:rPr>
          <w:rFonts w:hint="eastAsia" w:ascii="微软雅黑" w:hAnsi="微软雅黑" w:cs="微软雅黑"/>
          <w:sz w:val="24"/>
          <w:szCs w:val="24"/>
        </w:rPr>
        <w:t>1.资格确认：单位员工及家属；</w:t>
      </w:r>
    </w:p>
    <w:p>
      <w:pPr>
        <w:pStyle w:val="7"/>
        <w:spacing w:line="220" w:lineRule="atLeast"/>
        <w:ind w:firstLine="0" w:firstLineChars="0"/>
        <w:rPr>
          <w:rFonts w:ascii="微软雅黑" w:hAnsi="微软雅黑" w:cs="微软雅黑"/>
          <w:sz w:val="24"/>
          <w:szCs w:val="24"/>
        </w:rPr>
      </w:pPr>
      <w:r>
        <w:rPr>
          <w:rFonts w:hint="eastAsia" w:ascii="微软雅黑" w:hAnsi="微软雅黑" w:cs="微软雅黑"/>
          <w:sz w:val="24"/>
          <w:szCs w:val="24"/>
        </w:rPr>
        <w:t xml:space="preserve">2.购房优惠  根据购房套数确定优惠； </w:t>
      </w:r>
    </w:p>
    <w:p>
      <w:pPr>
        <w:pStyle w:val="7"/>
        <w:spacing w:line="220" w:lineRule="atLeast"/>
        <w:ind w:firstLine="0" w:firstLineChars="0"/>
        <w:rPr>
          <w:rFonts w:ascii="微软雅黑" w:hAnsi="微软雅黑" w:cs="微软雅黑"/>
          <w:sz w:val="24"/>
          <w:szCs w:val="24"/>
        </w:rPr>
      </w:pPr>
      <w:r>
        <w:rPr>
          <w:rFonts w:hint="eastAsia" w:ascii="微软雅黑" w:hAnsi="微软雅黑" w:cs="微软雅黑"/>
          <w:sz w:val="24"/>
          <w:szCs w:val="24"/>
        </w:rPr>
        <w:t>3.优惠时间  ：仅限财富壹号广场商业开盘当天前；</w:t>
      </w:r>
    </w:p>
    <w:p>
      <w:pPr>
        <w:pStyle w:val="7"/>
        <w:spacing w:line="220" w:lineRule="atLeast"/>
        <w:ind w:firstLine="0" w:firstLineChars="0"/>
        <w:rPr>
          <w:b/>
          <w:sz w:val="24"/>
          <w:szCs w:val="24"/>
        </w:rPr>
      </w:pPr>
      <w:r>
        <w:rPr>
          <w:rFonts w:hint="eastAsia" w:ascii="微软雅黑" w:hAnsi="微软雅黑" w:cs="微软雅黑"/>
          <w:sz w:val="24"/>
          <w:szCs w:val="24"/>
        </w:rPr>
        <w:t>4..报名时间：</w:t>
      </w:r>
      <w:r>
        <w:rPr>
          <w:rFonts w:hint="eastAsia" w:ascii="微软雅黑" w:hAnsi="微软雅黑" w:cs="微软雅黑"/>
          <w:b/>
          <w:sz w:val="24"/>
          <w:szCs w:val="24"/>
          <w:highlight w:val="yellow"/>
        </w:rPr>
        <w:t xml:space="preserve"> 截止2017年6月31日</w:t>
      </w:r>
    </w:p>
    <w:p>
      <w:pPr>
        <w:spacing w:line="220" w:lineRule="atLeast"/>
        <w:ind w:firstLine="360" w:firstLineChars="150"/>
        <w:rPr>
          <w:sz w:val="24"/>
          <w:szCs w:val="24"/>
        </w:rPr>
      </w:pPr>
      <w:r>
        <w:rPr>
          <w:rFonts w:hint="eastAsia"/>
          <w:b/>
          <w:sz w:val="24"/>
          <w:szCs w:val="24"/>
        </w:rPr>
        <w:t>报名方式：</w:t>
      </w:r>
      <w:r>
        <w:rPr>
          <w:rFonts w:hint="eastAsia"/>
          <w:sz w:val="24"/>
          <w:szCs w:val="24"/>
        </w:rPr>
        <w:t>在单位内部信息平台统一发送购房通知并截图，报名于项目负责人甄婷经理。</w:t>
      </w:r>
    </w:p>
    <w:p>
      <w:pPr>
        <w:spacing w:line="220" w:lineRule="atLeast"/>
        <w:rPr>
          <w:rFonts w:hint="eastAsia"/>
          <w:b/>
          <w:sz w:val="30"/>
          <w:szCs w:val="30"/>
          <w:highlight w:val="yellow"/>
        </w:rPr>
      </w:pPr>
      <w:r>
        <w:rPr>
          <w:rFonts w:hint="eastAsia"/>
          <w:sz w:val="24"/>
          <w:szCs w:val="24"/>
        </w:rPr>
        <w:t>项目负责人：</w:t>
      </w:r>
      <w:r>
        <w:rPr>
          <w:rFonts w:hint="eastAsia"/>
          <w:b/>
          <w:sz w:val="30"/>
          <w:szCs w:val="30"/>
          <w:highlight w:val="yellow"/>
        </w:rPr>
        <w:t>甄婷 18865928801同微信号（甄嬛的甄）</w:t>
      </w:r>
    </w:p>
    <w:p>
      <w:pPr>
        <w:spacing w:line="220" w:lineRule="atLeast"/>
        <w:ind w:firstLine="1500" w:firstLineChars="500"/>
        <w:rPr>
          <w:b/>
          <w:sz w:val="30"/>
          <w:szCs w:val="30"/>
          <w:highlight w:val="yellow"/>
        </w:rPr>
      </w:pPr>
      <w:r>
        <w:rPr>
          <w:rFonts w:hint="eastAsia"/>
          <w:b/>
          <w:sz w:val="30"/>
          <w:szCs w:val="30"/>
          <w:highlight w:val="yellow"/>
        </w:rPr>
        <w:t>找甄婷经理，到售楼处看房有礼品</w:t>
      </w:r>
    </w:p>
    <w:p>
      <w:pPr>
        <w:spacing w:line="220" w:lineRule="atLeast"/>
        <w:rPr>
          <w:b/>
          <w:sz w:val="24"/>
          <w:szCs w:val="24"/>
        </w:rPr>
      </w:pPr>
      <w:r>
        <w:rPr>
          <w:rFonts w:hint="eastAsia"/>
          <w:b/>
          <w:sz w:val="24"/>
          <w:szCs w:val="24"/>
        </w:rPr>
        <w:t>（特别提示：本次活动为我单位员工的定向活动，为保证大客户利益，团购以名单为准，并要求团购客户在首次到售楼处之前，预约大客户经理安排接待。）</w:t>
      </w:r>
    </w:p>
    <w:p>
      <w:pPr>
        <w:spacing w:line="220" w:lineRule="atLeast"/>
        <w:rPr>
          <w:sz w:val="24"/>
          <w:szCs w:val="24"/>
        </w:rPr>
      </w:pPr>
    </w:p>
    <w:p>
      <w:pPr>
        <w:spacing w:line="220" w:lineRule="atLeast"/>
        <w:ind w:firstLine="360" w:firstLineChars="150"/>
        <w:rPr>
          <w:sz w:val="24"/>
          <w:szCs w:val="24"/>
        </w:rPr>
      </w:pPr>
    </w:p>
    <w:p>
      <w:pPr>
        <w:spacing w:line="220" w:lineRule="atLeast"/>
        <w:ind w:right="330"/>
        <w:jc w:val="both"/>
        <w:rPr>
          <w:b/>
        </w:rPr>
      </w:pPr>
      <w:r>
        <w:rPr>
          <w:b/>
        </w:rPr>
        <w:drawing>
          <wp:inline distT="0" distB="0" distL="0" distR="0">
            <wp:extent cx="6192520" cy="5830570"/>
            <wp:effectExtent l="19050" t="0" r="0" b="0"/>
            <wp:docPr id="6" name="图片 5" descr="甄婷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甄婷二维码.png"/>
                    <pic:cNvPicPr>
                      <a:picLocks noChangeAspect="1"/>
                    </pic:cNvPicPr>
                  </pic:nvPicPr>
                  <pic:blipFill>
                    <a:blip r:embed="rId10"/>
                    <a:stretch>
                      <a:fillRect/>
                    </a:stretch>
                  </pic:blipFill>
                  <pic:spPr>
                    <a:xfrm>
                      <a:off x="0" y="0"/>
                      <a:ext cx="6192520" cy="5830570"/>
                    </a:xfrm>
                    <a:prstGeom prst="rect">
                      <a:avLst/>
                    </a:prstGeom>
                  </pic:spPr>
                </pic:pic>
              </a:graphicData>
            </a:graphic>
          </wp:inline>
        </w:drawing>
      </w:r>
      <w:bookmarkEnd w:id="0"/>
    </w:p>
    <w:sectPr>
      <w:pgSz w:w="11906" w:h="16838"/>
      <w:pgMar w:top="1134" w:right="1077" w:bottom="1134" w:left="1077"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80"/>
    <w:multiLevelType w:val="multilevel"/>
    <w:tmpl w:val="0354608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15039A4"/>
    <w:multiLevelType w:val="multilevel"/>
    <w:tmpl w:val="515039A4"/>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rawingGridHorizontalSpacing w:val="110"/>
  <w:displayHorizontalDrawingGridEvery w:val="2"/>
  <w:characterSpacingControl w:val="doNotCompress"/>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482B"/>
    <w:rsid w:val="000614AD"/>
    <w:rsid w:val="0007523F"/>
    <w:rsid w:val="00076FAC"/>
    <w:rsid w:val="00085EE5"/>
    <w:rsid w:val="000870E3"/>
    <w:rsid w:val="000F4AD9"/>
    <w:rsid w:val="00154859"/>
    <w:rsid w:val="001664DF"/>
    <w:rsid w:val="00172D22"/>
    <w:rsid w:val="001D7974"/>
    <w:rsid w:val="001E7BCF"/>
    <w:rsid w:val="001F08D8"/>
    <w:rsid w:val="00213369"/>
    <w:rsid w:val="002440DE"/>
    <w:rsid w:val="002632A7"/>
    <w:rsid w:val="002643FD"/>
    <w:rsid w:val="00293AD6"/>
    <w:rsid w:val="002E15AA"/>
    <w:rsid w:val="002F7594"/>
    <w:rsid w:val="002F7DEC"/>
    <w:rsid w:val="00323B43"/>
    <w:rsid w:val="00327450"/>
    <w:rsid w:val="003747BF"/>
    <w:rsid w:val="00382684"/>
    <w:rsid w:val="003A70FF"/>
    <w:rsid w:val="003B30FD"/>
    <w:rsid w:val="003D37D8"/>
    <w:rsid w:val="0042254B"/>
    <w:rsid w:val="00426133"/>
    <w:rsid w:val="004358AB"/>
    <w:rsid w:val="004505A9"/>
    <w:rsid w:val="004A4042"/>
    <w:rsid w:val="004B4824"/>
    <w:rsid w:val="004F7588"/>
    <w:rsid w:val="00503721"/>
    <w:rsid w:val="00506900"/>
    <w:rsid w:val="00533D98"/>
    <w:rsid w:val="00547C04"/>
    <w:rsid w:val="00565E44"/>
    <w:rsid w:val="0059717D"/>
    <w:rsid w:val="005E00D9"/>
    <w:rsid w:val="00606BD6"/>
    <w:rsid w:val="006133D4"/>
    <w:rsid w:val="006812D6"/>
    <w:rsid w:val="006C6CF5"/>
    <w:rsid w:val="006F53D7"/>
    <w:rsid w:val="00726738"/>
    <w:rsid w:val="007314C9"/>
    <w:rsid w:val="007416BC"/>
    <w:rsid w:val="00747BEC"/>
    <w:rsid w:val="007523F9"/>
    <w:rsid w:val="00753D53"/>
    <w:rsid w:val="00761CEC"/>
    <w:rsid w:val="007815FA"/>
    <w:rsid w:val="007A7B1A"/>
    <w:rsid w:val="007F1208"/>
    <w:rsid w:val="0080503B"/>
    <w:rsid w:val="00845874"/>
    <w:rsid w:val="0085691B"/>
    <w:rsid w:val="0089169D"/>
    <w:rsid w:val="008B7726"/>
    <w:rsid w:val="008C4093"/>
    <w:rsid w:val="008D3F79"/>
    <w:rsid w:val="008F0F21"/>
    <w:rsid w:val="00926C87"/>
    <w:rsid w:val="00930C41"/>
    <w:rsid w:val="00944B13"/>
    <w:rsid w:val="00953D4F"/>
    <w:rsid w:val="00972893"/>
    <w:rsid w:val="009A60CB"/>
    <w:rsid w:val="009C316C"/>
    <w:rsid w:val="009D40C7"/>
    <w:rsid w:val="00A531CD"/>
    <w:rsid w:val="00A76B5B"/>
    <w:rsid w:val="00AB2949"/>
    <w:rsid w:val="00AD2219"/>
    <w:rsid w:val="00B01119"/>
    <w:rsid w:val="00B31F48"/>
    <w:rsid w:val="00BB5A8A"/>
    <w:rsid w:val="00BC15F0"/>
    <w:rsid w:val="00BF0306"/>
    <w:rsid w:val="00BF7ACC"/>
    <w:rsid w:val="00C50FA4"/>
    <w:rsid w:val="00C558DD"/>
    <w:rsid w:val="00CA3008"/>
    <w:rsid w:val="00CD41A4"/>
    <w:rsid w:val="00D260FE"/>
    <w:rsid w:val="00D31D50"/>
    <w:rsid w:val="00D52F4E"/>
    <w:rsid w:val="00D53220"/>
    <w:rsid w:val="00D57525"/>
    <w:rsid w:val="00DA19E7"/>
    <w:rsid w:val="00E004E3"/>
    <w:rsid w:val="00E8069E"/>
    <w:rsid w:val="00E87499"/>
    <w:rsid w:val="00EB579A"/>
    <w:rsid w:val="00EB721A"/>
    <w:rsid w:val="00ED2E4A"/>
    <w:rsid w:val="00F24E45"/>
    <w:rsid w:val="00F323BB"/>
    <w:rsid w:val="00F748DF"/>
    <w:rsid w:val="00FD4CEA"/>
    <w:rsid w:val="04A57DAB"/>
    <w:rsid w:val="04A80C2D"/>
    <w:rsid w:val="0892709C"/>
    <w:rsid w:val="08FC5A87"/>
    <w:rsid w:val="0E8D066C"/>
    <w:rsid w:val="10B81EFA"/>
    <w:rsid w:val="175355D1"/>
    <w:rsid w:val="23C81BF8"/>
    <w:rsid w:val="2BA95732"/>
    <w:rsid w:val="2D4860D7"/>
    <w:rsid w:val="30C775E4"/>
    <w:rsid w:val="36A77D38"/>
    <w:rsid w:val="36C2734F"/>
    <w:rsid w:val="3B674E03"/>
    <w:rsid w:val="3E386E20"/>
    <w:rsid w:val="4CF3344B"/>
    <w:rsid w:val="5B3171A9"/>
    <w:rsid w:val="5C031FD7"/>
    <w:rsid w:val="60B50B3A"/>
    <w:rsid w:val="628864B6"/>
    <w:rsid w:val="6E306D57"/>
    <w:rsid w:val="7D1B05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unhideWhenUsed/>
    <w:uiPriority w:val="99"/>
    <w:pPr>
      <w:spacing w:after="0"/>
    </w:pPr>
    <w:rPr>
      <w:sz w:val="18"/>
      <w:szCs w:val="18"/>
    </w:rPr>
  </w:style>
  <w:style w:type="paragraph" w:styleId="3">
    <w:name w:val="footer"/>
    <w:basedOn w:val="1"/>
    <w:link w:val="10"/>
    <w:unhideWhenUsed/>
    <w:uiPriority w:val="99"/>
    <w:pPr>
      <w:tabs>
        <w:tab w:val="center" w:pos="4153"/>
        <w:tab w:val="right" w:pos="8306"/>
      </w:tabs>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jc w:val="center"/>
    </w:pPr>
    <w:rPr>
      <w:sz w:val="18"/>
      <w:szCs w:val="18"/>
    </w:rPr>
  </w:style>
  <w:style w:type="paragraph" w:customStyle="1" w:styleId="7">
    <w:name w:val="列出段落1"/>
    <w:basedOn w:val="1"/>
    <w:qFormat/>
    <w:uiPriority w:val="34"/>
    <w:pPr>
      <w:ind w:firstLine="420" w:firstLineChars="200"/>
    </w:pPr>
  </w:style>
  <w:style w:type="character" w:customStyle="1" w:styleId="8">
    <w:name w:val="批注框文本 Char"/>
    <w:basedOn w:val="5"/>
    <w:link w:val="2"/>
    <w:semiHidden/>
    <w:qFormat/>
    <w:uiPriority w:val="99"/>
    <w:rPr>
      <w:rFonts w:ascii="Tahoma" w:hAnsi="Tahoma"/>
      <w:sz w:val="18"/>
      <w:szCs w:val="18"/>
    </w:rPr>
  </w:style>
  <w:style w:type="character" w:customStyle="1" w:styleId="9">
    <w:name w:val="页眉 Char"/>
    <w:basedOn w:val="5"/>
    <w:link w:val="4"/>
    <w:semiHidden/>
    <w:uiPriority w:val="99"/>
    <w:rPr>
      <w:rFonts w:ascii="Tahoma" w:hAnsi="Tahoma"/>
      <w:sz w:val="18"/>
      <w:szCs w:val="18"/>
    </w:rPr>
  </w:style>
  <w:style w:type="character" w:customStyle="1" w:styleId="10">
    <w:name w:val="页脚 Char"/>
    <w:basedOn w:val="5"/>
    <w:link w:val="3"/>
    <w:semiHidden/>
    <w:uiPriority w:val="99"/>
    <w:rPr>
      <w:rFonts w:ascii="Tahoma" w:hAnsi="Tahoma"/>
      <w:sz w:val="18"/>
      <w:szCs w:val="18"/>
    </w:rPr>
  </w:style>
  <w:style w:type="paragraph" w:customStyle="1" w:styleId="11">
    <w:name w:val="List Paragraph"/>
    <w:basedOn w:val="1"/>
    <w:uiPriority w:val="99"/>
    <w:pPr>
      <w:ind w:firstLine="420" w:firstLineChars="200"/>
    </w:p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customXml" Target="../customXml/item1.xml"/>
  <Relationship Id="rId12" Type="http://schemas.openxmlformats.org/officeDocument/2006/relationships/numbering" Target="numbering.xml"/>
  <Relationship Id="rId13"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231</Words>
  <Characters>1320</Characters>
  <Lines>11</Lines>
  <Paragraphs>3</Paragraphs>
  <ScaleCrop>false</ScaleCrop>
  <LinksUpToDate>false</LinksUpToDate>
  <CharactersWithSpaces>1548</CharactersWithSpaces>
  <Application>WPS Office_10.1.0.6391_F1E327BC-269C-435d-A152-05C5408002CA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2017-04-12T06:53:00Z</dcterms:created>
  <dc:creator>thing</dc:creator>
  <lastModifiedBy>`</lastModifiedBy>
  <dcterms:modified xsi:type="dcterms:W3CDTF">2017-06-09T09:08:25Z</dcterms:modified>
  <revision>13</revision>
  <dc:title>财富壹號广场 首期商业团购推介</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